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bottom w:val="single" w:sz="4" w:space="1" w:color="auto"/>
        </w:pBdr>
        <w:jc w:val="center"/>
        <w:rPr>
          <w:b/>
          <w:bCs/>
        </w:rPr>
      </w:pPr>
      <w:r>
        <w:rPr>
          <w:b/>
          <w:bCs/>
        </w:rPr>
        <w:t xml:space="preserve">Assises des centres de données </w:t>
      </w:r>
    </w:p>
    <w:p>
      <w:pPr>
        <w:rPr>
          <w:b/>
          <w:bCs/>
        </w:rPr>
      </w:pPr>
    </w:p>
    <w:p>
      <w:r>
        <w:rPr>
          <w:b/>
          <w:bCs/>
        </w:rPr>
        <w:t>DATE</w:t>
      </w:r>
      <w:r>
        <w:t> :  30 janvier 2026 de 9h à 12h en salon Debré</w:t>
      </w:r>
    </w:p>
    <w:p/>
    <w:p>
      <w:r>
        <w:rPr>
          <w:b/>
          <w:bCs/>
        </w:rPr>
        <w:t>LIEU :</w:t>
      </w:r>
      <w:r>
        <w:t xml:space="preserve"> Hôtel des Ministres (Bercy)</w:t>
      </w:r>
    </w:p>
    <w:p/>
    <w:p>
      <w:r>
        <w:rPr>
          <w:b/>
          <w:bCs/>
        </w:rPr>
        <w:t>FORMAT</w:t>
      </w:r>
      <w:r>
        <w:t xml:space="preserve"> : demi-journée </w:t>
      </w:r>
    </w:p>
    <w:p/>
    <w:p>
      <w:r>
        <w:rPr>
          <w:b/>
          <w:bCs/>
        </w:rPr>
        <w:t>PARTICIPANTS </w:t>
      </w:r>
      <w:r>
        <w:t>: entre 50 et 80, de niveau DG pour les PME et cadres dirigeants pour les grandes entreprises, issus : (i) des principales entreprises de développement et opération de data centers, (ii) de quelques entreprises clés gravitant autour de l’écosystème (construction, fourniture d’équipements, solutions énergétiques), (iii) quelques collectivités impliquées dans la démarche</w:t>
      </w:r>
    </w:p>
    <w:p/>
    <w:p>
      <w:pPr>
        <w:rPr>
          <w:b/>
          <w:bCs/>
        </w:rPr>
      </w:pPr>
      <w:r>
        <w:rPr>
          <w:b/>
          <w:bCs/>
        </w:rPr>
        <w:t xml:space="preserve">PROGRAMME : </w:t>
      </w:r>
    </w:p>
    <w:p/>
    <w:p>
      <w:pPr>
        <w:rPr>
          <w:b/>
          <w:bCs/>
        </w:rPr>
      </w:pPr>
    </w:p>
    <w:p>
      <w:pPr>
        <w:rPr>
          <w:b/>
          <w:bCs/>
        </w:rPr>
      </w:pPr>
      <w:r>
        <w:rPr>
          <w:b/>
          <w:bCs/>
        </w:rPr>
        <w:t>8h45 – Accueil café</w:t>
      </w:r>
    </w:p>
    <w:p/>
    <w:p>
      <w:pPr>
        <w:rPr>
          <w:b/>
          <w:bCs/>
        </w:rPr>
      </w:pPr>
      <w:r>
        <w:rPr>
          <w:b/>
          <w:bCs/>
        </w:rPr>
        <w:t>9h15 - Introduction</w:t>
      </w:r>
      <w:r>
        <w:t xml:space="preserve"> – </w:t>
      </w:r>
      <w:r>
        <w:rPr>
          <w:b/>
          <w:bCs/>
        </w:rPr>
        <w:t>30 minutes</w:t>
      </w:r>
    </w:p>
    <w:p>
      <w:pPr>
        <w:rPr>
          <w:i/>
          <w:iCs/>
        </w:rPr>
      </w:pPr>
    </w:p>
    <w:p>
      <w:pPr>
        <w:rPr>
          <w:i/>
          <w:iCs/>
        </w:rPr>
      </w:pPr>
      <w:r>
        <w:rPr>
          <w:i/>
          <w:iCs/>
        </w:rPr>
        <w:t>15min Ministre du numérique</w:t>
      </w:r>
    </w:p>
    <w:p>
      <w:pPr>
        <w:rPr>
          <w:i/>
          <w:iCs/>
        </w:rPr>
      </w:pPr>
    </w:p>
    <w:p>
      <w:pPr>
        <w:rPr>
          <w:i/>
          <w:iCs/>
        </w:rPr>
      </w:pPr>
      <w:r>
        <w:rPr>
          <w:i/>
          <w:iCs/>
        </w:rPr>
        <w:t>5min Directeur général des entreprises</w:t>
      </w:r>
    </w:p>
    <w:p>
      <w:pPr>
        <w:rPr>
          <w:i/>
          <w:iCs/>
        </w:rPr>
      </w:pPr>
      <w:r>
        <w:rPr>
          <w:i/>
          <w:iCs/>
        </w:rPr>
        <w:t xml:space="preserve">5min </w:t>
      </w:r>
      <w:proofErr w:type="spellStart"/>
      <w:r>
        <w:rPr>
          <w:i/>
          <w:iCs/>
        </w:rPr>
        <w:t>Nathalue</w:t>
      </w:r>
      <w:proofErr w:type="spellEnd"/>
      <w:r>
        <w:rPr>
          <w:i/>
          <w:iCs/>
        </w:rPr>
        <w:t xml:space="preserve"> Lemaitre (RTE) </w:t>
      </w:r>
    </w:p>
    <w:p>
      <w:pPr>
        <w:rPr>
          <w:i/>
          <w:iCs/>
        </w:rPr>
      </w:pPr>
      <w:r>
        <w:rPr>
          <w:i/>
          <w:iCs/>
        </w:rPr>
        <w:t>5min Marie-Cécile Tardieu (BF)</w:t>
      </w:r>
    </w:p>
    <w:p>
      <w:pPr>
        <w:rPr>
          <w:i/>
          <w:iCs/>
        </w:rPr>
      </w:pPr>
    </w:p>
    <w:p>
      <w:r>
        <w:t>Eléments qui pourront être détaillés pour les introductions</w:t>
      </w:r>
    </w:p>
    <w:p>
      <w:pPr>
        <w:pStyle w:val="Paragraphedeliste"/>
        <w:numPr>
          <w:ilvl w:val="0"/>
          <w:numId w:val="1"/>
        </w:numPr>
        <w:rPr>
          <w:rFonts w:eastAsia="Times New Roman"/>
        </w:rPr>
      </w:pPr>
      <w:r>
        <w:rPr>
          <w:rFonts w:eastAsia="Times New Roman"/>
        </w:rPr>
        <w:t>Bilan sur les investissements depuis le SAIA</w:t>
      </w:r>
    </w:p>
    <w:p>
      <w:pPr>
        <w:pStyle w:val="Paragraphedeliste"/>
        <w:numPr>
          <w:ilvl w:val="0"/>
          <w:numId w:val="1"/>
        </w:numPr>
        <w:rPr>
          <w:rFonts w:eastAsia="Times New Roman"/>
        </w:rPr>
      </w:pPr>
      <w:r>
        <w:rPr>
          <w:rFonts w:eastAsia="Times New Roman"/>
        </w:rPr>
        <w:t xml:space="preserve">Enjeux du cloud et de l’IA pour la France </w:t>
      </w:r>
    </w:p>
    <w:p>
      <w:pPr>
        <w:pStyle w:val="Paragraphedeliste"/>
        <w:numPr>
          <w:ilvl w:val="0"/>
          <w:numId w:val="1"/>
        </w:numPr>
        <w:rPr>
          <w:rFonts w:eastAsia="Times New Roman"/>
        </w:rPr>
      </w:pPr>
      <w:r>
        <w:rPr>
          <w:rFonts w:eastAsia="Times New Roman"/>
        </w:rPr>
        <w:t>Avantages comparatifs de la France</w:t>
      </w:r>
    </w:p>
    <w:p>
      <w:pPr>
        <w:pStyle w:val="Paragraphedeliste"/>
        <w:numPr>
          <w:ilvl w:val="0"/>
          <w:numId w:val="1"/>
        </w:numPr>
        <w:rPr>
          <w:rFonts w:eastAsia="Times New Roman"/>
        </w:rPr>
      </w:pPr>
      <w:r>
        <w:rPr>
          <w:rFonts w:eastAsia="Times New Roman"/>
        </w:rPr>
        <w:t xml:space="preserve">Valorisation de l’action de la taskforce </w:t>
      </w:r>
    </w:p>
    <w:p/>
    <w:p>
      <w:pPr>
        <w:rPr>
          <w:b/>
          <w:bCs/>
        </w:rPr>
      </w:pPr>
      <w:r>
        <w:rPr>
          <w:b/>
          <w:bCs/>
        </w:rPr>
        <w:t>9h45 – Ateliers 1H15</w:t>
      </w:r>
    </w:p>
    <w:p>
      <w:pPr>
        <w:rPr>
          <w:b/>
          <w:bCs/>
        </w:rPr>
      </w:pPr>
    </w:p>
    <w:p>
      <w:pPr>
        <w:rPr>
          <w:b/>
          <w:bCs/>
        </w:rPr>
      </w:pPr>
      <w:r>
        <w:rPr>
          <w:b/>
          <w:bCs/>
        </w:rPr>
        <w:t>Chaque atelier fera l’objet d’une restitution.</w:t>
      </w:r>
    </w:p>
    <w:p>
      <w:pPr>
        <w:rPr>
          <w:b/>
          <w:bCs/>
        </w:rPr>
      </w:pPr>
    </w:p>
    <w:p>
      <w:pPr>
        <w:rPr>
          <w:i/>
          <w:iCs/>
        </w:rPr>
      </w:pPr>
      <w:r>
        <w:rPr>
          <w:i/>
          <w:iCs/>
        </w:rPr>
        <w:t xml:space="preserve">Rappel des règles avant les ateliers par Domitille (niveau sonore, temps de parole…) et en début d’atelier par les animateurs. </w:t>
      </w:r>
    </w:p>
    <w:p>
      <w:pPr>
        <w:rPr>
          <w:b/>
          <w:bCs/>
        </w:rPr>
      </w:pPr>
    </w:p>
    <w:p>
      <w:pPr>
        <w:rPr>
          <w:u w:val="single"/>
        </w:rPr>
      </w:pPr>
      <w:r>
        <w:rPr>
          <w:b/>
          <w:bCs/>
        </w:rPr>
        <w:t xml:space="preserve">Atelier 1* : Enjeux réseau et évolution du raccordement – 1h15 </w:t>
      </w:r>
    </w:p>
    <w:p>
      <w:pPr>
        <w:rPr>
          <w:i/>
          <w:iCs/>
        </w:rPr>
      </w:pPr>
      <w:r>
        <w:rPr>
          <w:i/>
          <w:iCs/>
        </w:rPr>
        <w:t>Animation :</w:t>
      </w:r>
    </w:p>
    <w:p>
      <w:pPr>
        <w:pStyle w:val="Paragraphedeliste"/>
        <w:numPr>
          <w:ilvl w:val="0"/>
          <w:numId w:val="2"/>
        </w:numPr>
        <w:rPr>
          <w:rFonts w:eastAsia="Times New Roman"/>
        </w:rPr>
      </w:pPr>
      <w:r>
        <w:rPr>
          <w:rFonts w:eastAsia="Times New Roman"/>
        </w:rPr>
        <w:t xml:space="preserve">Sensibilisation à la démarche adoptée par RTE + présentation de la consultation publique qui sera lancée sur le sujet. </w:t>
      </w:r>
    </w:p>
    <w:p>
      <w:pPr>
        <w:pStyle w:val="Paragraphedeliste"/>
        <w:numPr>
          <w:ilvl w:val="0"/>
          <w:numId w:val="2"/>
        </w:numPr>
        <w:rPr>
          <w:rFonts w:eastAsia="Times New Roman"/>
        </w:rPr>
      </w:pPr>
      <w:r>
        <w:rPr>
          <w:rFonts w:eastAsia="Times New Roman"/>
        </w:rPr>
        <w:t>Présentation des perspectives d’évolution</w:t>
      </w:r>
    </w:p>
    <w:p>
      <w:pPr>
        <w:ind w:left="360"/>
        <w:rPr>
          <w:u w:val="single"/>
        </w:rPr>
      </w:pPr>
    </w:p>
    <w:p>
      <w:pPr>
        <w:ind w:left="360"/>
        <w:rPr>
          <w:u w:val="single"/>
        </w:rPr>
      </w:pPr>
      <w:r>
        <w:rPr>
          <w:u w:val="single"/>
        </w:rPr>
        <w:t xml:space="preserve">Description : </w:t>
      </w:r>
    </w:p>
    <w:p>
      <w:pPr>
        <w:pStyle w:val="Paragraphedeliste"/>
        <w:rPr>
          <w:color w:val="000000"/>
        </w:rPr>
      </w:pPr>
      <w:r>
        <w:t xml:space="preserve">L’accès à une électricité abordable, décarbonée et fiable constitue l’un des atouts majeurs de la France pour l’implantation de centres de données. Dans le même temps, la forte hausse observée des demandes de raccordement pour des projets de centres de données appelle une réflexion sur les modalités et conditions d’accès au réseau. Lors de cet atelier, les participants seront invités à s’exprimer sur ces enjeux, en présence de RTE qui présentera </w:t>
      </w:r>
      <w:r>
        <w:lastRenderedPageBreak/>
        <w:t xml:space="preserve">l’édition 2025 de son bilan prévisionnel, ainsi que les réflexions et travaux en cours visant à répondre aux enjeux du raccordement des infrastructures numériques afin de préserver l'attractivité du pays et réussir la course à l'électrification. </w:t>
      </w:r>
      <w:r>
        <w:rPr>
          <w:color w:val="000000"/>
        </w:rPr>
        <w:t>En 2026, RTE souhaite ainsi proposer une refonte profonde des procédures de raccordement visant à passer de manière pérenne à une logique du « premier prêt, premier servi », et assurer que les droits d’accès au réseau sont bien octroyés à des projets effectivement en cours de réalisation et suffisamment matures.  </w:t>
      </w:r>
      <w:r>
        <w:t xml:space="preserve">Les propositions de </w:t>
      </w:r>
      <w:r>
        <w:rPr>
          <w:color w:val="000000"/>
        </w:rPr>
        <w:t>RTE visent, au bénéfice de ses clients, à s’affranchir d’un double risque : (i) une saturation « contractuelle » des réseaux si les projets industriels ne se réalisent pas (ou pas au rythme annoncé), (ii) une saturation physique du réseau si les investissements dans les réseaux ne sont pas déclenchés à temps en raison de l’asymétrie d’information sur la réalité des projets industriels</w:t>
      </w:r>
    </w:p>
    <w:p>
      <w:pPr>
        <w:pStyle w:val="Paragraphedeliste"/>
        <w:rPr>
          <w:rFonts w:eastAsia="Times New Roman"/>
        </w:rPr>
      </w:pPr>
    </w:p>
    <w:p/>
    <w:p>
      <w:pPr>
        <w:rPr>
          <w:b/>
          <w:bCs/>
        </w:rPr>
      </w:pPr>
      <w:r>
        <w:rPr>
          <w:b/>
          <w:bCs/>
        </w:rPr>
        <w:t>Atelier 2* : Construire un projet avec les collectivités et propriétaires publics – 1h15</w:t>
      </w:r>
    </w:p>
    <w:p>
      <w:pPr>
        <w:rPr>
          <w:i/>
          <w:iCs/>
        </w:rPr>
      </w:pPr>
      <w:r>
        <w:rPr>
          <w:i/>
          <w:iCs/>
        </w:rPr>
        <w:t>Animation</w:t>
      </w:r>
      <w:r>
        <w:rPr>
          <w:b/>
          <w:bCs/>
          <w:i/>
          <w:iCs/>
        </w:rPr>
        <w:t xml:space="preserve"> : </w:t>
      </w:r>
    </w:p>
    <w:p>
      <w:pPr>
        <w:pStyle w:val="Paragraphedeliste"/>
        <w:numPr>
          <w:ilvl w:val="0"/>
          <w:numId w:val="3"/>
        </w:numPr>
        <w:rPr>
          <w:rFonts w:eastAsia="Times New Roman"/>
          <w:i/>
          <w:iCs/>
        </w:rPr>
      </w:pPr>
      <w:r>
        <w:rPr>
          <w:rFonts w:eastAsia="Times New Roman"/>
        </w:rPr>
        <w:t xml:space="preserve">Bonnes pratiques pour la constitution d’un AMI </w:t>
      </w:r>
    </w:p>
    <w:p>
      <w:pPr>
        <w:pStyle w:val="Paragraphedeliste"/>
        <w:numPr>
          <w:ilvl w:val="0"/>
          <w:numId w:val="3"/>
        </w:numPr>
        <w:rPr>
          <w:rFonts w:eastAsia="Times New Roman"/>
        </w:rPr>
      </w:pPr>
      <w:r>
        <w:rPr>
          <w:rFonts w:eastAsia="Times New Roman"/>
        </w:rPr>
        <w:t xml:space="preserve">Travailler l’acceptabilité de son projet : contreparties, souveraineté et usages </w:t>
      </w:r>
    </w:p>
    <w:p>
      <w:pPr>
        <w:rPr>
          <w:rFonts w:eastAsia="Times New Roman"/>
        </w:rPr>
      </w:pPr>
    </w:p>
    <w:p>
      <w:pPr>
        <w:rPr>
          <w:rFonts w:eastAsia="Times New Roman"/>
        </w:rPr>
      </w:pPr>
      <w:r>
        <w:t xml:space="preserve">Les centres de données sont des infrastructures clés pour la stratégie numérique de la France, mais également pour les territoires dans lesquels ils s’insèrent. Au-delà des craintes qu’ils peuvent soulever en matière de nuisances, les centres de données sont aussi une opportunité de développement économique pour les collectivités. Ainsi, cet atelier sera l’occasion pour les participants d’échanger sur les éléments fondamentaux garantissant l’acceptabilité locale d’un projet ainsi que sur les procédures d’attribution (critères des appels à manifestation d’intérêt notamment) et modalités de travail avec les collectivités et propriétaires publics.  </w:t>
      </w:r>
    </w:p>
    <w:p>
      <w:pPr>
        <w:rPr>
          <w:rFonts w:eastAsia="Times New Roman"/>
        </w:rPr>
      </w:pPr>
    </w:p>
    <w:p>
      <w:pPr>
        <w:rPr>
          <w:rFonts w:eastAsia="Times New Roman"/>
        </w:rPr>
      </w:pPr>
    </w:p>
    <w:p>
      <w:pPr>
        <w:rPr>
          <w:rFonts w:eastAsia="Times New Roman"/>
          <w:b/>
          <w:bCs/>
        </w:rPr>
      </w:pPr>
      <w:r>
        <w:rPr>
          <w:rFonts w:eastAsia="Times New Roman"/>
          <w:b/>
          <w:bCs/>
        </w:rPr>
        <w:t xml:space="preserve">Atelier 3* : Enjeux environnementaux (chaleur fatale, consommation d’eau).  </w:t>
      </w:r>
    </w:p>
    <w:p>
      <w:pPr>
        <w:rPr>
          <w:rFonts w:eastAsia="Times New Roman"/>
          <w:i/>
          <w:iCs/>
        </w:rPr>
      </w:pPr>
      <w:r>
        <w:rPr>
          <w:rFonts w:eastAsia="Times New Roman"/>
          <w:i/>
          <w:iCs/>
        </w:rPr>
        <w:t xml:space="preserve">Animation :  </w:t>
      </w:r>
    </w:p>
    <w:p>
      <w:pPr>
        <w:pStyle w:val="Paragraphedeliste"/>
        <w:numPr>
          <w:ilvl w:val="0"/>
          <w:numId w:val="3"/>
        </w:numPr>
        <w:rPr>
          <w:rFonts w:eastAsia="Times New Roman"/>
          <w:i/>
          <w:iCs/>
        </w:rPr>
      </w:pPr>
      <w:r>
        <w:rPr>
          <w:rFonts w:eastAsia="Times New Roman"/>
        </w:rPr>
        <w:t xml:space="preserve">Définir les bonnes pratiques en termes d’impact environnemental des projets </w:t>
      </w:r>
    </w:p>
    <w:p>
      <w:pPr>
        <w:rPr>
          <w:rFonts w:eastAsia="Times New Roman"/>
          <w:i/>
          <w:iCs/>
          <w:color w:val="4472C4" w:themeColor="accent1"/>
        </w:rPr>
      </w:pPr>
    </w:p>
    <w:p>
      <w:pPr>
        <w:rPr>
          <w:rFonts w:eastAsia="Times New Roman"/>
          <w:i/>
          <w:iCs/>
          <w:color w:val="4472C4" w:themeColor="accent1"/>
        </w:rPr>
      </w:pPr>
      <w:r>
        <w:rPr>
          <w:rFonts w:eastAsia="Times New Roman"/>
          <w:i/>
          <w:iCs/>
          <w:color w:val="4472C4" w:themeColor="accent1"/>
        </w:rPr>
        <w:t>Cet atelier nécessiterait une invitation sélective pour ne pas avoir trop de participants – nous suggérons quelques collectivités impliquées dans la démarche, et les représentants à différentes échelles – Régions de France, Intercommunalités de France</w:t>
      </w:r>
    </w:p>
    <w:p/>
    <w:p>
      <w:r>
        <w:t>Les centres de données sont des infrastructures électro-intensives, consommatrices de foncier et utilisant des dispositifs de refroidissement importants, qui peuvent s'accompagner de pressions sur les ressources hydrique. Ils suscitent des interrogations et des préoccupations en matière d’impacts environnementaux et territoriaux. Pour autant, des solutions permettent aujourd’hui d’améliorer la performance environnementale des centres de données. Lors de cet atelier, les participants seront invités à partager les bonnes pratiques identifiées ainsi que les solutions innovantes et les partenariats qui peuvent être mis en œuvre.</w:t>
      </w:r>
    </w:p>
    <w:p/>
    <w:p>
      <w:pPr>
        <w:rPr>
          <w:b/>
          <w:bCs/>
        </w:rPr>
      </w:pPr>
      <w:r>
        <w:rPr>
          <w:b/>
          <w:bCs/>
        </w:rPr>
        <w:t>Atelier 4* : Quelle stratégie de calcul pour la France ? – 1h15</w:t>
      </w:r>
    </w:p>
    <w:p>
      <w:pPr>
        <w:rPr>
          <w:i/>
          <w:iCs/>
          <w:lang w:eastAsia="en-US"/>
        </w:rPr>
      </w:pPr>
      <w:r>
        <w:rPr>
          <w:i/>
          <w:iCs/>
        </w:rPr>
        <w:t xml:space="preserve">Animation : </w:t>
      </w:r>
    </w:p>
    <w:p>
      <w:pPr>
        <w:pStyle w:val="Paragraphedeliste"/>
        <w:numPr>
          <w:ilvl w:val="0"/>
          <w:numId w:val="8"/>
        </w:numPr>
        <w:rPr>
          <w:rFonts w:eastAsia="Times New Roman"/>
        </w:rPr>
      </w:pPr>
      <w:r>
        <w:rPr>
          <w:rFonts w:eastAsia="Times New Roman"/>
        </w:rPr>
        <w:t>Caractériser les besoins français en capacités de calcul et leurs usages</w:t>
      </w:r>
    </w:p>
    <w:p>
      <w:pPr>
        <w:pStyle w:val="Paragraphedeliste"/>
        <w:numPr>
          <w:ilvl w:val="0"/>
          <w:numId w:val="8"/>
        </w:numPr>
        <w:rPr>
          <w:rFonts w:eastAsia="Times New Roman"/>
        </w:rPr>
      </w:pPr>
      <w:r>
        <w:rPr>
          <w:rFonts w:eastAsia="Times New Roman"/>
        </w:rPr>
        <w:t>Renforcer les chaînes de valeur européennes</w:t>
      </w:r>
    </w:p>
    <w:p/>
    <w:p>
      <w:r>
        <w:t>*Ateliers se tenant simultanément, l’allocation des participants se faisant selon un équilibre entre volontariat et désignation</w:t>
      </w:r>
    </w:p>
    <w:p/>
    <w:p>
      <w:pPr>
        <w:rPr>
          <w:u w:val="single"/>
        </w:rPr>
      </w:pPr>
      <w:r>
        <w:rPr>
          <w:u w:val="single"/>
        </w:rPr>
        <w:lastRenderedPageBreak/>
        <w:t xml:space="preserve">Description : </w:t>
      </w:r>
    </w:p>
    <w:p>
      <w:r>
        <w:t>Lors du Sommet de Paris pour l’action sur l’intelligence artificielle, 109 milliards d’euros d’investissements privés dans les infrastructures numériques ont été annoncés. Forte de ses avantages comparatifs, la France est aujourd’hui une destination de choix pour l’implantation de centres de données en Europe. La multiplication des projets invite néanmoins à se questionner sur les perspectives réelles du marché et les besoins (IA, Cloud, HPC) que ces infrastructures entendent servir, ainsi que sur la manière dont ils peuvent contribuer à renforcer des chaînes de valeur françaises et européennes. Développeurs, opérateurs, utilisateurs et fournisseurs d’équipement de centres de données pourront ici partager leur vision du marché et réfléchir ensemble à la valorisation de l’offre française.</w:t>
      </w:r>
    </w:p>
    <w:p/>
    <w:p/>
    <w:p>
      <w:r>
        <w:rPr>
          <w:b/>
          <w:bCs/>
        </w:rPr>
        <w:t>11h00 </w:t>
      </w:r>
      <w:r>
        <w:t xml:space="preserve">: Pause </w:t>
      </w:r>
    </w:p>
    <w:p/>
    <w:p>
      <w:pPr>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pPr>
        <w:rPr>
          <w:b/>
          <w:bCs/>
        </w:rPr>
      </w:pPr>
      <w:r>
        <w:rPr>
          <w:b/>
          <w:bCs/>
        </w:rPr>
        <w:t>11h15 - Session de clôture – 45 minutes (8 minutes par groupe + 5 minutes de clôture par la ministre)</w:t>
      </w:r>
    </w:p>
    <w:p>
      <w:pPr>
        <w:rPr>
          <w:i/>
          <w:iCs/>
        </w:rPr>
      </w:pPr>
      <w:r>
        <w:rPr>
          <w:i/>
          <w:iCs/>
        </w:rPr>
        <w:t xml:space="preserve">Ministre du Numérique </w:t>
      </w:r>
    </w:p>
    <w:p>
      <w:pPr>
        <w:rPr>
          <w:i/>
          <w:iCs/>
        </w:rPr>
      </w:pPr>
    </w:p>
    <w:p>
      <w:pPr>
        <w:pStyle w:val="Paragraphedeliste"/>
        <w:numPr>
          <w:ilvl w:val="0"/>
          <w:numId w:val="5"/>
        </w:numPr>
      </w:pPr>
      <w:r>
        <w:rPr>
          <w:rFonts w:eastAsia="Times New Roman"/>
        </w:rPr>
        <w:t xml:space="preserve">Chaque rapporteur restitue les échanges, la ministre peut poser des questions complémentaires </w:t>
      </w:r>
      <w:r>
        <w:t xml:space="preserve"> </w:t>
      </w:r>
    </w:p>
    <w:p>
      <w:pPr>
        <w:pStyle w:val="Paragraphedeliste"/>
        <w:numPr>
          <w:ilvl w:val="0"/>
          <w:numId w:val="5"/>
        </w:numPr>
        <w:rPr>
          <w:rFonts w:eastAsia="Times New Roman"/>
        </w:rPr>
      </w:pPr>
      <w:r>
        <w:rPr>
          <w:rFonts w:eastAsia="Times New Roman"/>
        </w:rPr>
        <w:t xml:space="preserve">La ministre conclue (actions et prochaines étapes) et donne un mot d’au revoir. </w:t>
      </w:r>
    </w:p>
    <w:p/>
    <w:p>
      <w:pPr>
        <w:rPr>
          <w:b/>
          <w:bCs/>
        </w:rPr>
      </w:pP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1CD"/>
    <w:multiLevelType w:val="hybridMultilevel"/>
    <w:tmpl w:val="A1884F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D8371F"/>
    <w:multiLevelType w:val="hybridMultilevel"/>
    <w:tmpl w:val="373E9F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7F174DB"/>
    <w:multiLevelType w:val="hybridMultilevel"/>
    <w:tmpl w:val="8AEC1530"/>
    <w:lvl w:ilvl="0" w:tplc="727A3D06">
      <w:numFmt w:val="bullet"/>
      <w:lvlText w:val=""/>
      <w:lvlJc w:val="left"/>
      <w:pPr>
        <w:ind w:left="720" w:hanging="360"/>
      </w:pPr>
      <w:rPr>
        <w:rFonts w:ascii="Wingdings" w:eastAsiaTheme="minorHAnsi"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7722BC"/>
    <w:multiLevelType w:val="hybridMultilevel"/>
    <w:tmpl w:val="DFB4BB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3E2A1622"/>
    <w:multiLevelType w:val="hybridMultilevel"/>
    <w:tmpl w:val="B0D441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0F33234"/>
    <w:multiLevelType w:val="hybridMultilevel"/>
    <w:tmpl w:val="C156916C"/>
    <w:lvl w:ilvl="0" w:tplc="BFD030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0C43A8"/>
    <w:multiLevelType w:val="hybridMultilevel"/>
    <w:tmpl w:val="ABF091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69D443F2"/>
    <w:multiLevelType w:val="hybridMultilevel"/>
    <w:tmpl w:val="C40A42A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6FBA0C02"/>
    <w:multiLevelType w:val="hybridMultilevel"/>
    <w:tmpl w:val="90F219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7E751845"/>
    <w:multiLevelType w:val="hybridMultilevel"/>
    <w:tmpl w:val="99328D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6"/>
  </w:num>
  <w:num w:numId="6">
    <w:abstractNumId w:val="5"/>
  </w:num>
  <w:num w:numId="7">
    <w:abstractNumId w:val="2"/>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E5D77-385F-4742-987D-27E0388D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pPr>
    <w:rPr>
      <w:lang w:eastAsia="en-US"/>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libri" w:hAnsi="Calibri" w:cs="Calibri"/>
      <w:sz w:val="20"/>
      <w:szCs w:val="20"/>
      <w:lang w:eastAsia="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w:hAnsi="Calibri" w:cs="Calibri"/>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262">
      <w:bodyDiv w:val="1"/>
      <w:marLeft w:val="0"/>
      <w:marRight w:val="0"/>
      <w:marTop w:val="0"/>
      <w:marBottom w:val="0"/>
      <w:divBdr>
        <w:top w:val="none" w:sz="0" w:space="0" w:color="auto"/>
        <w:left w:val="none" w:sz="0" w:space="0" w:color="auto"/>
        <w:bottom w:val="none" w:sz="0" w:space="0" w:color="auto"/>
        <w:right w:val="none" w:sz="0" w:space="0" w:color="auto"/>
      </w:divBdr>
    </w:div>
    <w:div w:id="390885888">
      <w:bodyDiv w:val="1"/>
      <w:marLeft w:val="0"/>
      <w:marRight w:val="0"/>
      <w:marTop w:val="0"/>
      <w:marBottom w:val="0"/>
      <w:divBdr>
        <w:top w:val="none" w:sz="0" w:space="0" w:color="auto"/>
        <w:left w:val="none" w:sz="0" w:space="0" w:color="auto"/>
        <w:bottom w:val="none" w:sz="0" w:space="0" w:color="auto"/>
        <w:right w:val="none" w:sz="0" w:space="0" w:color="auto"/>
      </w:divBdr>
    </w:div>
    <w:div w:id="157411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A963B-E5F7-4023-A79F-B2E5D1A2E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961</Words>
  <Characters>5288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TALAGRAND Julien</dc:creator>
  <cp:keywords/>
  <dc:description/>
  <cp:lastModifiedBy>TALAGRAND Julien</cp:lastModifiedBy>
  <cp:revision>9</cp:revision>
  <dcterms:created xsi:type="dcterms:W3CDTF">2026-01-27T09:47:00Z</dcterms:created>
  <dcterms:modified xsi:type="dcterms:W3CDTF">2026-03-10T18:03:00Z</dcterms:modified>
</cp:coreProperties>
</file>